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095" w:rsidRPr="005E4095" w:rsidRDefault="005E4095" w:rsidP="005E4095">
      <w:pPr>
        <w:rPr>
          <w:rFonts w:asciiTheme="majorBidi" w:hAnsiTheme="majorBidi" w:cstheme="majorBidi"/>
          <w:sz w:val="24"/>
          <w:szCs w:val="24"/>
          <w:lang w:bidi="fa-IR"/>
        </w:rPr>
      </w:pPr>
      <w:bookmarkStart w:id="0" w:name="_GoBack"/>
      <w:r w:rsidRPr="005E4095">
        <w:rPr>
          <w:rFonts w:asciiTheme="majorBidi" w:hAnsiTheme="majorBidi" w:cstheme="majorBidi"/>
          <w:sz w:val="24"/>
          <w:szCs w:val="24"/>
          <w:lang w:bidi="fa-IR"/>
        </w:rPr>
        <w:t>The prevalence of metabolic syndrome, hypertension and insulin resistance is higher in obese people.</w:t>
      </w:r>
    </w:p>
    <w:bookmarkEnd w:id="0"/>
    <w:p w:rsidR="005E4095" w:rsidRPr="005E4095" w:rsidRDefault="005E4095" w:rsidP="005E4095">
      <w:pPr>
        <w:rPr>
          <w:rFonts w:asciiTheme="majorBidi" w:hAnsiTheme="majorBidi" w:cstheme="majorBidi"/>
          <w:sz w:val="24"/>
          <w:szCs w:val="24"/>
          <w:lang w:bidi="fa-IR"/>
        </w:rPr>
      </w:pPr>
    </w:p>
    <w:p w:rsidR="005E4095" w:rsidRPr="005E4095" w:rsidRDefault="005E4095" w:rsidP="005E4095">
      <w:pPr>
        <w:rPr>
          <w:rFonts w:asciiTheme="majorBidi" w:hAnsiTheme="majorBidi" w:cstheme="majorBidi"/>
          <w:sz w:val="24"/>
          <w:szCs w:val="24"/>
          <w:lang w:bidi="fa-IR"/>
        </w:rPr>
      </w:pPr>
      <w:r w:rsidRPr="005E4095">
        <w:rPr>
          <w:rFonts w:asciiTheme="majorBidi" w:hAnsiTheme="majorBidi" w:cstheme="majorBidi"/>
          <w:sz w:val="24"/>
          <w:szCs w:val="24"/>
          <w:lang w:bidi="fa-IR"/>
        </w:rPr>
        <w:t>Teenagers with polycystic ovary syndrome are more likely to have problems with diabetes, and obese people are more likely to develop insulin resistance, high blood pressure, and a larger waist circumference, which can lead to cardiovascular disease. Teenagers with irregular menstrual cycles should look for polycystic ovary syndrome after one year of menarche and these should be followed, their blood sugar should be checked and their body mass index should be controlled and they should not be obese. In this study, the prevalence of polycystic ovary syndrome was 44.6% by NIH index. The prevalence of impaired glucose and metabolic function syndrome and insulin resistance in adolescents with polycystic ovaries was 10.3</w:t>
      </w:r>
      <w:r w:rsidRPr="005E4095">
        <w:rPr>
          <w:rFonts w:asciiTheme="majorBidi" w:hAnsiTheme="majorBidi" w:cs="Times New Roman"/>
          <w:sz w:val="24"/>
          <w:szCs w:val="24"/>
          <w:rtl/>
          <w:lang w:bidi="fa-IR"/>
        </w:rPr>
        <w:t xml:space="preserve"> ٪ 13.7%</w:t>
      </w:r>
      <w:r w:rsidRPr="005E4095">
        <w:rPr>
          <w:rFonts w:asciiTheme="majorBidi" w:hAnsiTheme="majorBidi" w:cstheme="majorBidi"/>
          <w:sz w:val="24"/>
          <w:szCs w:val="24"/>
          <w:lang w:bidi="fa-IR"/>
        </w:rPr>
        <w:t xml:space="preserve"> and 41.4%, respectively. Obese people had significantly higher prevalence of metabolic syndrome, higher blood pressure, waist circumference less than ≥88 and more insulin resistance than non-obese individuals.</w:t>
      </w:r>
    </w:p>
    <w:p w:rsidR="005E4095" w:rsidRPr="005E4095" w:rsidRDefault="005E4095" w:rsidP="005E4095">
      <w:pPr>
        <w:rPr>
          <w:rFonts w:asciiTheme="majorBidi" w:hAnsiTheme="majorBidi" w:cstheme="majorBidi"/>
          <w:sz w:val="24"/>
          <w:szCs w:val="24"/>
          <w:lang w:bidi="fa-IR"/>
        </w:rPr>
      </w:pPr>
    </w:p>
    <w:p w:rsidR="005E4095" w:rsidRPr="005E4095" w:rsidRDefault="005E4095" w:rsidP="005E4095">
      <w:pPr>
        <w:rPr>
          <w:rFonts w:asciiTheme="majorBidi" w:hAnsiTheme="majorBidi" w:cstheme="majorBidi"/>
          <w:sz w:val="24"/>
          <w:szCs w:val="24"/>
          <w:lang w:bidi="fa-IR"/>
        </w:rPr>
      </w:pPr>
      <w:r w:rsidRPr="005E4095">
        <w:rPr>
          <w:rFonts w:asciiTheme="majorBidi" w:hAnsiTheme="majorBidi" w:cstheme="majorBidi"/>
          <w:sz w:val="24"/>
          <w:szCs w:val="24"/>
          <w:lang w:bidi="fa-IR"/>
        </w:rPr>
        <w:t xml:space="preserve"> </w:t>
      </w:r>
    </w:p>
    <w:p w:rsidR="005E4095" w:rsidRPr="005E4095" w:rsidRDefault="005E4095" w:rsidP="005E4095">
      <w:pPr>
        <w:rPr>
          <w:rFonts w:asciiTheme="majorBidi" w:hAnsiTheme="majorBidi" w:cstheme="majorBidi"/>
          <w:sz w:val="24"/>
          <w:szCs w:val="24"/>
          <w:lang w:bidi="fa-IR"/>
        </w:rPr>
      </w:pPr>
    </w:p>
    <w:p w:rsidR="005E4095" w:rsidRPr="005E4095" w:rsidRDefault="005E4095" w:rsidP="005E4095">
      <w:pPr>
        <w:rPr>
          <w:rFonts w:asciiTheme="majorBidi" w:hAnsiTheme="majorBidi" w:cstheme="majorBidi"/>
          <w:sz w:val="24"/>
          <w:szCs w:val="24"/>
          <w:lang w:bidi="fa-IR"/>
        </w:rPr>
      </w:pPr>
      <w:r w:rsidRPr="005E4095">
        <w:rPr>
          <w:rFonts w:asciiTheme="majorBidi" w:hAnsiTheme="majorBidi" w:cstheme="majorBidi"/>
          <w:sz w:val="24"/>
          <w:szCs w:val="24"/>
          <w:lang w:bidi="fa-IR"/>
        </w:rPr>
        <w:t>This article was published in ACTA MEDICA IRANICA magazine with the following link:</w:t>
      </w:r>
    </w:p>
    <w:p w:rsidR="005E4095" w:rsidRPr="005E4095" w:rsidRDefault="005E4095" w:rsidP="005E4095">
      <w:pPr>
        <w:rPr>
          <w:rFonts w:asciiTheme="majorBidi" w:hAnsiTheme="majorBidi" w:cstheme="majorBidi"/>
          <w:sz w:val="24"/>
          <w:szCs w:val="24"/>
          <w:lang w:bidi="fa-IR"/>
        </w:rPr>
      </w:pPr>
    </w:p>
    <w:p w:rsidR="00F3738E" w:rsidRPr="005E4095" w:rsidRDefault="005E4095" w:rsidP="005E4095">
      <w:pPr>
        <w:rPr>
          <w:rFonts w:asciiTheme="majorBidi" w:hAnsiTheme="majorBidi" w:cstheme="majorBidi"/>
          <w:sz w:val="24"/>
          <w:szCs w:val="24"/>
          <w:rtl/>
          <w:lang w:bidi="fa-IR"/>
        </w:rPr>
      </w:pPr>
      <w:hyperlink r:id="rId4" w:history="1">
        <w:r w:rsidRPr="003A3BCE">
          <w:rPr>
            <w:rStyle w:val="Hyperlink"/>
            <w:rFonts w:asciiTheme="majorBidi" w:hAnsiTheme="majorBidi" w:cstheme="majorBidi"/>
            <w:sz w:val="24"/>
            <w:szCs w:val="24"/>
            <w:lang w:bidi="fa-IR"/>
          </w:rPr>
          <w:t>https://doi.org/10.18502/acta.v58i8.4589</w:t>
        </w:r>
      </w:hyperlink>
      <w:r>
        <w:rPr>
          <w:rFonts w:asciiTheme="majorBidi" w:hAnsiTheme="majorBidi" w:cstheme="majorBidi" w:hint="cs"/>
          <w:sz w:val="24"/>
          <w:szCs w:val="24"/>
          <w:rtl/>
          <w:lang w:bidi="fa-IR"/>
        </w:rPr>
        <w:t xml:space="preserve"> </w:t>
      </w:r>
    </w:p>
    <w:sectPr w:rsidR="00F3738E" w:rsidRPr="005E4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095"/>
    <w:rsid w:val="005E4095"/>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845F"/>
  <w15:chartTrackingRefBased/>
  <w15:docId w15:val="{4CD16D98-FD65-4E9D-9783-B8FABF0B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40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8502/acta.v58i8.4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2022-05-14T07:46:00Z</dcterms:created>
  <dcterms:modified xsi:type="dcterms:W3CDTF">2022-05-14T07:49:00Z</dcterms:modified>
</cp:coreProperties>
</file>